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8D7" w:rsidRDefault="0045489F" w:rsidP="00FA48D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FA48D7" w:rsidRDefault="00D145B9" w:rsidP="00FA48D7">
      <w:pPr>
        <w:spacing w:after="0" w:line="240" w:lineRule="auto"/>
        <w:jc w:val="center"/>
        <w:rPr>
          <w:rFonts w:ascii="Times New Roman" w:hAnsi="Times New Roman" w:cs="Times New Roman"/>
          <w:b/>
          <w:sz w:val="20"/>
          <w:szCs w:val="20"/>
        </w:rPr>
      </w:pPr>
      <w:r w:rsidRPr="00D145B9">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4243B" w:rsidRPr="006430C6" w:rsidTr="000C6958">
        <w:trPr>
          <w:trHeight w:val="57"/>
        </w:trPr>
        <w:tc>
          <w:tcPr>
            <w:tcW w:w="10620" w:type="dxa"/>
            <w:gridSpan w:val="5"/>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4243B" w:rsidRPr="006430C6" w:rsidTr="000C6958">
        <w:trPr>
          <w:trHeight w:val="228"/>
        </w:trPr>
        <w:tc>
          <w:tcPr>
            <w:tcW w:w="744"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4243B" w:rsidRPr="006430C6" w:rsidTr="000C6958">
        <w:trPr>
          <w:trHeight w:val="134"/>
        </w:trPr>
        <w:tc>
          <w:tcPr>
            <w:tcW w:w="744"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4243B" w:rsidRPr="006430C6" w:rsidTr="000C6958">
        <w:trPr>
          <w:trHeight w:val="665"/>
        </w:trPr>
        <w:tc>
          <w:tcPr>
            <w:tcW w:w="744" w:type="dxa"/>
            <w:tcBorders>
              <w:bottom w:val="single" w:sz="4" w:space="0" w:color="auto"/>
            </w:tcBorders>
            <w:shd w:val="clear" w:color="auto" w:fill="auto"/>
            <w:noWrap/>
            <w:hideMark/>
          </w:tcPr>
          <w:p w:rsidR="0074243B" w:rsidRPr="00213F06" w:rsidRDefault="0074243B" w:rsidP="000C6958">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4243B" w:rsidRPr="00884974" w:rsidRDefault="00762F7C" w:rsidP="000C6958">
            <w:pPr>
              <w:pStyle w:val="Title"/>
              <w:jc w:val="both"/>
              <w:rPr>
                <w:rFonts w:ascii="Calibri" w:hAnsi="Calibri" w:cs="Calibri"/>
                <w:b w:val="0"/>
                <w:sz w:val="20"/>
                <w:szCs w:val="26"/>
                <w:u w:val="single"/>
              </w:rPr>
            </w:pPr>
            <w:proofErr w:type="gramStart"/>
            <w:r w:rsidRPr="00762F7C">
              <w:rPr>
                <w:b w:val="0"/>
                <w:sz w:val="20"/>
                <w:szCs w:val="24"/>
              </w:rPr>
              <w:t xml:space="preserve">Supply and Installation of Furniture for SCADA Control room at 33/11 KV S/S Company </w:t>
            </w:r>
            <w:proofErr w:type="spellStart"/>
            <w:r w:rsidRPr="00762F7C">
              <w:rPr>
                <w:b w:val="0"/>
                <w:sz w:val="20"/>
                <w:szCs w:val="24"/>
              </w:rPr>
              <w:t>Baag</w:t>
            </w:r>
            <w:proofErr w:type="spellEnd"/>
            <w:r w:rsidRPr="00762F7C">
              <w:rPr>
                <w:b w:val="0"/>
                <w:sz w:val="20"/>
                <w:szCs w:val="24"/>
              </w:rPr>
              <w:t xml:space="preserve"> </w:t>
            </w:r>
            <w:proofErr w:type="spellStart"/>
            <w:r w:rsidRPr="00762F7C">
              <w:rPr>
                <w:b w:val="0"/>
                <w:sz w:val="20"/>
                <w:szCs w:val="24"/>
              </w:rPr>
              <w:t>Distt</w:t>
            </w:r>
            <w:proofErr w:type="spellEnd"/>
            <w:r w:rsidRPr="00762F7C">
              <w:rPr>
                <w:b w:val="0"/>
                <w:sz w:val="20"/>
                <w:szCs w:val="24"/>
              </w:rPr>
              <w:t>.</w:t>
            </w:r>
            <w:proofErr w:type="gramEnd"/>
            <w:r w:rsidRPr="00762F7C">
              <w:rPr>
                <w:b w:val="0"/>
                <w:sz w:val="20"/>
                <w:szCs w:val="24"/>
              </w:rPr>
              <w:t xml:space="preserve"> </w:t>
            </w:r>
            <w:proofErr w:type="gramStart"/>
            <w:r w:rsidRPr="00762F7C">
              <w:rPr>
                <w:b w:val="0"/>
                <w:sz w:val="20"/>
                <w:szCs w:val="24"/>
              </w:rPr>
              <w:t xml:space="preserve">Moradabad under Moradabad Smart City Project </w:t>
            </w:r>
            <w:proofErr w:type="spellStart"/>
            <w:r w:rsidRPr="00762F7C">
              <w:rPr>
                <w:b w:val="0"/>
                <w:sz w:val="20"/>
                <w:szCs w:val="24"/>
              </w:rPr>
              <w:t>Distt</w:t>
            </w:r>
            <w:proofErr w:type="spellEnd"/>
            <w:r w:rsidRPr="00762F7C">
              <w:rPr>
                <w:b w:val="0"/>
                <w:sz w:val="20"/>
                <w:szCs w:val="24"/>
              </w:rPr>
              <w:t>.</w:t>
            </w:r>
            <w:proofErr w:type="gramEnd"/>
            <w:r w:rsidRPr="00762F7C">
              <w:rPr>
                <w:b w:val="0"/>
                <w:sz w:val="20"/>
                <w:szCs w:val="24"/>
              </w:rPr>
              <w:t xml:space="preserve"> Moradabad</w:t>
            </w:r>
          </w:p>
        </w:tc>
        <w:tc>
          <w:tcPr>
            <w:tcW w:w="1199" w:type="dxa"/>
            <w:tcBorders>
              <w:bottom w:val="single" w:sz="4" w:space="0" w:color="auto"/>
            </w:tcBorders>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4243B" w:rsidRPr="006430C6" w:rsidRDefault="006D7CC3"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651" w:type="dxa"/>
            <w:tcBorders>
              <w:bottom w:val="single" w:sz="4" w:space="0" w:color="auto"/>
            </w:tcBorders>
            <w:shd w:val="clear" w:color="auto" w:fill="auto"/>
            <w:noWrap/>
            <w:hideMark/>
          </w:tcPr>
          <w:p w:rsidR="0074243B" w:rsidRPr="00C4515D" w:rsidRDefault="0074243B" w:rsidP="000C6958">
            <w:pPr>
              <w:jc w:val="center"/>
              <w:rPr>
                <w:b/>
                <w:bCs/>
                <w:color w:val="FF0000"/>
                <w:sz w:val="28"/>
                <w:szCs w:val="28"/>
              </w:rPr>
            </w:pPr>
          </w:p>
        </w:tc>
      </w:tr>
      <w:tr w:rsidR="0074243B" w:rsidRPr="006430C6" w:rsidTr="000C6958">
        <w:trPr>
          <w:trHeight w:val="50"/>
        </w:trPr>
        <w:tc>
          <w:tcPr>
            <w:tcW w:w="6416" w:type="dxa"/>
            <w:gridSpan w:val="2"/>
            <w:tcBorders>
              <w:bottom w:val="single" w:sz="4" w:space="0" w:color="auto"/>
            </w:tcBorders>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6D7CC3">
              <w:rPr>
                <w:rFonts w:ascii="Times New Roman" w:eastAsia="Times New Roman" w:hAnsi="Times New Roman" w:cs="Times New Roman"/>
                <w:color w:val="000000"/>
              </w:rPr>
              <w:t>4</w:t>
            </w:r>
          </w:p>
        </w:tc>
        <w:tc>
          <w:tcPr>
            <w:tcW w:w="1199"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4243B" w:rsidRPr="006430C6" w:rsidRDefault="0074243B" w:rsidP="000C6958">
            <w:pPr>
              <w:spacing w:after="0" w:line="240" w:lineRule="auto"/>
              <w:jc w:val="right"/>
              <w:rPr>
                <w:rFonts w:ascii="Times New Roman" w:eastAsia="Times New Roman" w:hAnsi="Times New Roman" w:cs="Times New Roman"/>
                <w:color w:val="000000"/>
              </w:rPr>
            </w:pPr>
          </w:p>
        </w:tc>
      </w:tr>
      <w:tr w:rsidR="0074243B" w:rsidRPr="006430C6" w:rsidTr="000C6958">
        <w:trPr>
          <w:trHeight w:val="316"/>
        </w:trPr>
        <w:tc>
          <w:tcPr>
            <w:tcW w:w="10620" w:type="dxa"/>
            <w:gridSpan w:val="5"/>
            <w:tcBorders>
              <w:top w:val="single" w:sz="4" w:space="0" w:color="auto"/>
              <w:left w:val="nil"/>
              <w:bottom w:val="nil"/>
              <w:right w:val="nil"/>
            </w:tcBorders>
            <w:shd w:val="clear" w:color="auto" w:fill="auto"/>
            <w:noWrap/>
            <w:vAlign w:val="bottom"/>
            <w:hideMark/>
          </w:tcPr>
          <w:p w:rsidR="0074243B" w:rsidRPr="006430C6" w:rsidRDefault="0074243B" w:rsidP="008F0F20">
            <w:pPr>
              <w:spacing w:line="240" w:lineRule="auto"/>
              <w:jc w:val="both"/>
            </w:pPr>
            <w:r w:rsidRPr="006430C6">
              <w:rPr>
                <w:rFonts w:ascii="Times New Roman" w:eastAsia="Times New Roman" w:hAnsi="Times New Roman" w:cs="Times New Roman"/>
                <w:b/>
                <w:bCs/>
                <w:color w:val="000000"/>
                <w:sz w:val="20"/>
              </w:rPr>
              <w:t>Amount in Words:-</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w:t>
            </w:r>
            <w:r w:rsidR="001E708A">
              <w:rPr>
                <w:rFonts w:ascii="Times New Roman" w:hAnsi="Times New Roman" w:cs="Times New Roman"/>
                <w:b/>
                <w:sz w:val="20"/>
                <w:szCs w:val="20"/>
              </w:rPr>
              <w:t xml:space="preserve">      </w:t>
            </w:r>
            <w:r w:rsidR="007D6939">
              <w:rPr>
                <w:rFonts w:ascii="Times New Roman" w:hAnsi="Times New Roman" w:cs="Times New Roman"/>
                <w:b/>
                <w:sz w:val="20"/>
                <w:szCs w:val="20"/>
              </w:rPr>
              <w:t xml:space="preserve"> </w:t>
            </w: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4913B5" w:rsidRPr="00BE6BA7" w:rsidRDefault="004913B5" w:rsidP="004913B5">
      <w:pPr>
        <w:pStyle w:val="NoSpacing"/>
        <w:rPr>
          <w:rFonts w:ascii="Times New Roman" w:hAnsi="Times New Roman" w:cs="Times New Roman"/>
          <w:b/>
          <w:sz w:val="18"/>
          <w:szCs w:val="18"/>
        </w:rPr>
      </w:pPr>
    </w:p>
    <w:sectPr w:rsidR="004913B5"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1EF3"/>
    <w:rsid w:val="00052451"/>
    <w:rsid w:val="000545BF"/>
    <w:rsid w:val="00057A69"/>
    <w:rsid w:val="00060A82"/>
    <w:rsid w:val="00062CC4"/>
    <w:rsid w:val="00070298"/>
    <w:rsid w:val="000963C0"/>
    <w:rsid w:val="00096474"/>
    <w:rsid w:val="000A3384"/>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7F5E"/>
    <w:rsid w:val="001C4FE5"/>
    <w:rsid w:val="001D24CE"/>
    <w:rsid w:val="001D5AF2"/>
    <w:rsid w:val="001D61F9"/>
    <w:rsid w:val="001E06BE"/>
    <w:rsid w:val="001E3561"/>
    <w:rsid w:val="001E5586"/>
    <w:rsid w:val="001E708A"/>
    <w:rsid w:val="001F464D"/>
    <w:rsid w:val="00200275"/>
    <w:rsid w:val="002041D8"/>
    <w:rsid w:val="00210608"/>
    <w:rsid w:val="00213F06"/>
    <w:rsid w:val="00232FCC"/>
    <w:rsid w:val="00235BC3"/>
    <w:rsid w:val="002403FB"/>
    <w:rsid w:val="002407C0"/>
    <w:rsid w:val="002411D0"/>
    <w:rsid w:val="002413AD"/>
    <w:rsid w:val="0024691D"/>
    <w:rsid w:val="0024741D"/>
    <w:rsid w:val="00254929"/>
    <w:rsid w:val="002576FE"/>
    <w:rsid w:val="002637B7"/>
    <w:rsid w:val="002638B3"/>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52B50"/>
    <w:rsid w:val="00362E56"/>
    <w:rsid w:val="00362ED2"/>
    <w:rsid w:val="003713DA"/>
    <w:rsid w:val="003714F4"/>
    <w:rsid w:val="00376F2D"/>
    <w:rsid w:val="00387840"/>
    <w:rsid w:val="00391AC4"/>
    <w:rsid w:val="00395E81"/>
    <w:rsid w:val="003A5ACC"/>
    <w:rsid w:val="003B3671"/>
    <w:rsid w:val="003B6301"/>
    <w:rsid w:val="003C6833"/>
    <w:rsid w:val="003D2DF1"/>
    <w:rsid w:val="003D320A"/>
    <w:rsid w:val="003D75ED"/>
    <w:rsid w:val="003E1BDC"/>
    <w:rsid w:val="003E65DF"/>
    <w:rsid w:val="003F6DCA"/>
    <w:rsid w:val="003F7BDB"/>
    <w:rsid w:val="00435747"/>
    <w:rsid w:val="004376F8"/>
    <w:rsid w:val="00442A9D"/>
    <w:rsid w:val="004473BD"/>
    <w:rsid w:val="00447FAB"/>
    <w:rsid w:val="004501B7"/>
    <w:rsid w:val="0045489F"/>
    <w:rsid w:val="0045581E"/>
    <w:rsid w:val="00457A18"/>
    <w:rsid w:val="00460A79"/>
    <w:rsid w:val="00462308"/>
    <w:rsid w:val="0046372B"/>
    <w:rsid w:val="00477DCC"/>
    <w:rsid w:val="004808B0"/>
    <w:rsid w:val="004913B5"/>
    <w:rsid w:val="004B529B"/>
    <w:rsid w:val="004C1D23"/>
    <w:rsid w:val="004C25C5"/>
    <w:rsid w:val="004C27DA"/>
    <w:rsid w:val="004C2CF1"/>
    <w:rsid w:val="004C6374"/>
    <w:rsid w:val="004D5390"/>
    <w:rsid w:val="004E298E"/>
    <w:rsid w:val="004E4F3B"/>
    <w:rsid w:val="004E6415"/>
    <w:rsid w:val="004F32C2"/>
    <w:rsid w:val="005023C9"/>
    <w:rsid w:val="00510073"/>
    <w:rsid w:val="00513FA7"/>
    <w:rsid w:val="0051502A"/>
    <w:rsid w:val="0051505C"/>
    <w:rsid w:val="00527265"/>
    <w:rsid w:val="00541C32"/>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D7CC3"/>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243B"/>
    <w:rsid w:val="0074445D"/>
    <w:rsid w:val="00746679"/>
    <w:rsid w:val="00751018"/>
    <w:rsid w:val="00757990"/>
    <w:rsid w:val="0076194C"/>
    <w:rsid w:val="00761E65"/>
    <w:rsid w:val="00762F7C"/>
    <w:rsid w:val="0076361B"/>
    <w:rsid w:val="00772D0B"/>
    <w:rsid w:val="00774734"/>
    <w:rsid w:val="00774E2E"/>
    <w:rsid w:val="00790CA9"/>
    <w:rsid w:val="00795058"/>
    <w:rsid w:val="007B48E9"/>
    <w:rsid w:val="007B5B0E"/>
    <w:rsid w:val="007C21A7"/>
    <w:rsid w:val="007C2A25"/>
    <w:rsid w:val="007D6007"/>
    <w:rsid w:val="007D6939"/>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0F20"/>
    <w:rsid w:val="008F38F6"/>
    <w:rsid w:val="00906306"/>
    <w:rsid w:val="00910465"/>
    <w:rsid w:val="00916B6E"/>
    <w:rsid w:val="00920D89"/>
    <w:rsid w:val="00921E2B"/>
    <w:rsid w:val="00931460"/>
    <w:rsid w:val="009328FC"/>
    <w:rsid w:val="00963A73"/>
    <w:rsid w:val="009752BB"/>
    <w:rsid w:val="0098039F"/>
    <w:rsid w:val="009942F4"/>
    <w:rsid w:val="009A0B48"/>
    <w:rsid w:val="009C21DF"/>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273D"/>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1597C"/>
    <w:rsid w:val="00B21621"/>
    <w:rsid w:val="00B22544"/>
    <w:rsid w:val="00B3012D"/>
    <w:rsid w:val="00B40511"/>
    <w:rsid w:val="00B41710"/>
    <w:rsid w:val="00B51317"/>
    <w:rsid w:val="00B51939"/>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45B9"/>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4CC5"/>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45772"/>
    <w:rsid w:val="00F51100"/>
    <w:rsid w:val="00F55E6A"/>
    <w:rsid w:val="00F577F3"/>
    <w:rsid w:val="00F61A3A"/>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10D9B-F6C0-4A4A-8F02-E9D35C4A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46</cp:revision>
  <cp:lastPrinted>2023-07-18T08:42:00Z</cp:lastPrinted>
  <dcterms:created xsi:type="dcterms:W3CDTF">2022-01-24T07:02:00Z</dcterms:created>
  <dcterms:modified xsi:type="dcterms:W3CDTF">2023-07-18T08:49:00Z</dcterms:modified>
</cp:coreProperties>
</file>